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2"/>
    <w:p>
      <w:pPr>
        <w:pStyle w:val="Heading1"/>
      </w:pPr>
      <w:r>
        <w:t xml:space="preserve">Homiletics Analysis: Isaiah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22 is an oracle of judgment addressed not to a foreign nation but to Jerusalem itself — the</w:t>
      </w:r>
      <w:r>
        <w:t xml:space="preserve"> </w:t>
      </w:r>
      <w:r>
        <w:t xml:space="preserve">“Valley of Vision,”</w:t>
      </w:r>
      <w:r>
        <w:t xml:space="preserve"> </w:t>
      </w:r>
      <w:r>
        <w:t xml:space="preserve">the city that should have known better. The chapter opens with Jerusalem inexplicably celebrating (vv. 1–4), then pulls back the curtain to reveal what lies beneath: the city has been threatened by Assyria, and rather than turning to the LORD, it has responded with frantic human preparations — reinforcing walls, stockpiling water, and above all, making no acknowledgment of the One who planned and permitted this disaster (vv. 5–11). God called them to weeping and mourning; instead they feasted with deliberate defiance:</w:t>
      </w:r>
      <w:r>
        <w:t xml:space="preserve"> </w:t>
      </w:r>
      <w:r>
        <w:t xml:space="preserve">“Let us eat and drink, for tomorrow we die”</w:t>
      </w:r>
      <w:r>
        <w:t xml:space="preserve"> </w:t>
      </w:r>
      <w:r>
        <w:t xml:space="preserve">(vv. 12–13). The word of the LORD follows: this sin will not be forgiven (v. 14).</w:t>
      </w:r>
    </w:p>
    <w:p>
      <w:pPr>
        <w:pStyle w:val="BodyText"/>
      </w:pPr>
      <w:r>
        <w:t xml:space="preserve">The chapter then turns to two named individuals whose fates embody the larger theological truth. Shebna, the royal steward who has built himself a grand tomb and thus enthroned himself in the place of honor, is condemned to be hurled from his position and die in exile, disgraced (vv. 15–19). Eliakim son of Hilkiah is named as his replacement, invested with Shebna’s authority, and given the key of the house of David — a figure of messianic anticipation (vv. 20–24). Yet Eliakim himself will ultimately fail: the peg driven firmly in the wall will give way, and everything hung on it will fall (v. 25). The chapter ends where it began — with the failure of human confidence and the collapse of the structures men build for their own security and glory.</w:t>
      </w:r>
    </w:p>
    <w:p>
      <w:pPr>
        <w:pStyle w:val="BodyText"/>
      </w:pPr>
      <w:r>
        <w:rPr>
          <w:b/>
          <w:bCs/>
        </w:rPr>
        <w:t xml:space="preserve">This Text — Intent</w:t>
      </w:r>
    </w:p>
    <w:p>
      <w:pPr>
        <w:pStyle w:val="BodyText"/>
      </w:pPr>
      <w:r>
        <w:t xml:space="preserve">God is seeking to expose and dismantle the specific sin of self-sufficient crisis management — the refusal, even in extremity, to turn to the LORD. The text targets not gross immorality but the more subtle and more deadly posture of a people who, when pressed to their limits, look everywhere except to God. The intent is not primarily to instruct but to confront: to strip away the veneer of activity (the walls, the cisterns, the feasting) and name what it is — a refusal to acknowledge the LORD. The section on Shebna and Eliakim applies that confrontation personally: the man who carves his own memorial, who leverages position for self-glory, is a specific instantiation of the city’s larger sin. Even the hope attached to Eliakim is qualified — the ultimately sufficient</w:t>
      </w:r>
      <w:r>
        <w:t xml:space="preserve"> </w:t>
      </w:r>
      <w:r>
        <w:t xml:space="preserve">“peg”</w:t>
      </w:r>
      <w:r>
        <w:t xml:space="preserve"> </w:t>
      </w:r>
      <w:r>
        <w:t xml:space="preserve">is not any human official, however faithfully appointed. God’s intent through this chapter is to bring His people to the end of all self-trust so that there is nowhere left to look but to Him.</w:t>
      </w:r>
    </w:p>
    <w:p>
      <w:r>
        <w:pict>
          <v:rect style="width:0;height:1.5pt" o:hralign="center" o:hrstd="t" o:hr="t"/>
        </w:pict>
      </w:r>
    </w:p>
    <w:p>
      <w:pPr>
        <w:pStyle w:val="FirstParagraph"/>
      </w:pPr>
      <w:r>
        <w:rPr>
          <w:b/>
          <w:bCs/>
        </w:rPr>
        <w:t xml:space="preserve">Subject Sentence:</w:t>
      </w:r>
      <w:r>
        <w:t xml:space="preserve"> </w:t>
      </w:r>
      <w:r>
        <w:t xml:space="preserve">Jerusalem’s self-sufficient crisis management is judged; all human pegs give way.</w:t>
      </w:r>
    </w:p>
    <w:p>
      <w:r>
        <w:pict>
          <v:rect style="width:0;height:1.5pt" o:hralign="center" o:hrstd="t" o:hr="t"/>
        </w:pict>
      </w:r>
    </w:p>
    <w:p>
      <w:pPr>
        <w:pStyle w:val="FirstParagraph"/>
      </w:pPr>
      <w:r>
        <w:rPr>
          <w:b/>
          <w:bCs/>
        </w:rPr>
        <w:t xml:space="preserve">Primary Claim:</w:t>
      </w:r>
      <w:r>
        <w:t xml:space="preserve"> </w:t>
      </w:r>
      <w:r>
        <w:t xml:space="preserve">When God sends pressure to drive His people to Himself, and they respond instead with frantic self-reliance and deliberate celebration of creaturely comfort, He declares that sin unforgivable — and demonstrates through the collapse of every human structure that there is no peg strong enough to bear the weight they are placing on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“Valley of Vision”</w:t>
      </w:r>
      <w:r>
        <w:rPr>
          <w:b/>
          <w:bCs/>
        </w:rPr>
        <w:t xml:space="preserve"> </w:t>
      </w:r>
      <w:r>
        <w:rPr>
          <w:b/>
          <w:bCs/>
        </w:rPr>
        <w:t xml:space="preserve">identification and its interpretive weight</w:t>
      </w:r>
    </w:p>
    <w:p>
      <w:pPr>
        <w:pStyle w:val="BodyText"/>
      </w:pPr>
      <w:r>
        <w:t xml:space="preserve">The title</w:t>
      </w:r>
      <w:r>
        <w:t xml:space="preserve"> </w:t>
      </w:r>
      <w:r>
        <w:t xml:space="preserve">“Valley of Vision”</w:t>
      </w:r>
      <w:r>
        <w:t xml:space="preserve"> </w:t>
      </w:r>
      <w:r>
        <w:t xml:space="preserve">(vv. 1, 5) has generated discussion. Some interpreters understand it as a geographic reference — the Kidron Valley or the valley south of Jerusalem — but the more compelling reading is that it is a theological title for Jerusalem itself, the city where prophetic vision was given, the city that should have seen clearly. The irony is pointed: the Valley of Vision is populated by a people who are functionally blind. This reading, which the Reformed tradition generally favors, integrates the title into the oracle’s argument rather than treating it as a topographical footnote. The vision-blindness paradox runs through the entire chapter and controls its logic.</w:t>
      </w:r>
    </w:p>
    <w:p>
      <w:pPr>
        <w:pStyle w:val="BodyText"/>
      </w:pPr>
      <w:r>
        <w:rPr>
          <w:b/>
          <w:bCs/>
        </w:rPr>
        <w:t xml:space="preserve">The historical occasion — Hezekiah’s crisis or something else?</w:t>
      </w:r>
    </w:p>
    <w:p>
      <w:pPr>
        <w:pStyle w:val="BodyText"/>
      </w:pPr>
      <w:r>
        <w:t xml:space="preserve">Scholars debate whether chapter 22 refers to the Assyrian siege under Sennacherib (701 BC) or to an earlier moment of Assyrian pressure. Some dispensational and critical interpreters have proposed multiple fulfillment frameworks or read the chapter as composite. The Reformed and grammatical-historical reading treats the chapter as a unified oracle addressing a specific historical moment — most likely the period surrounding the Assyrian threat to Jerusalem — in which Judah’s response to the crisis is the central theological concern. The historical referent shapes but does not dominate the exposition; the principle the passage establishes transcends any single historical occasion.</w:t>
      </w:r>
    </w:p>
    <w:p>
      <w:pPr>
        <w:pStyle w:val="BodyText"/>
      </w:pPr>
      <w:r>
        <w:rPr>
          <w:b/>
          <w:bCs/>
        </w:rPr>
        <w:t xml:space="preserve">The Eliakim oracle and its messianic force (vv. 20–25)</w:t>
      </w:r>
    </w:p>
    <w:p>
      <w:pPr>
        <w:pStyle w:val="BodyText"/>
      </w:pPr>
      <w:r>
        <w:t xml:space="preserve">This is the most significant interpretive divide in the chapter. The language applied to Eliakim is extraordinary: he will be</w:t>
      </w:r>
      <w:r>
        <w:t xml:space="preserve"> </w:t>
      </w:r>
      <w:r>
        <w:t xml:space="preserve">“a father to the inhabitants of Jerusalem,”</w:t>
      </w:r>
      <w:r>
        <w:t xml:space="preserve"> </w:t>
      </w:r>
      <w:r>
        <w:t xml:space="preserve">he will receive</w:t>
      </w:r>
      <w:r>
        <w:t xml:space="preserve"> </w:t>
      </w:r>
      <w:r>
        <w:t xml:space="preserve">“the key of the house of David,”</w:t>
      </w:r>
      <w:r>
        <w:t xml:space="preserve"> </w:t>
      </w:r>
      <w:r>
        <w:t xml:space="preserve">and he will be</w:t>
      </w:r>
      <w:r>
        <w:t xml:space="preserve"> </w:t>
      </w:r>
      <w:r>
        <w:t xml:space="preserve">“a peg in a secure place”</w:t>
      </w:r>
      <w:r>
        <w:t xml:space="preserve"> </w:t>
      </w:r>
      <w:r>
        <w:t xml:space="preserve">on which</w:t>
      </w:r>
      <w:r>
        <w:t xml:space="preserve"> </w:t>
      </w:r>
      <w:r>
        <w:t xml:space="preserve">“the whole honor of his father’s house will hang”</w:t>
      </w:r>
      <w:r>
        <w:t xml:space="preserve"> </w:t>
      </w:r>
      <w:r>
        <w:t xml:space="preserve">(vv. 21–24). The question is whether this is straightforwardly messianic, typologically anticipatory, or primarily historical.</w:t>
      </w:r>
    </w:p>
    <w:p>
      <w:pPr>
        <w:numPr>
          <w:ilvl w:val="0"/>
          <w:numId w:val="1001"/>
        </w:numPr>
      </w:pPr>
      <w:r>
        <w:rPr>
          <w:b/>
          <w:bCs/>
        </w:rPr>
        <w:t xml:space="preserve">Dispensational and some evangelical interpreters</w:t>
      </w:r>
      <w:r>
        <w:t xml:space="preserve"> </w:t>
      </w:r>
      <w:r>
        <w:t xml:space="preserve">tend to read this as primarily historical — Eliakim is appointed as a faithful administrator, the language is honorific but not messianic, and the collapse of v. 25 refers to Eliakim’s own later failure.</w:t>
      </w:r>
    </w:p>
    <w:p>
      <w:pPr>
        <w:numPr>
          <w:ilvl w:val="0"/>
          <w:numId w:val="1001"/>
        </w:numPr>
      </w:pPr>
      <w:r>
        <w:rPr>
          <w:b/>
          <w:bCs/>
        </w:rPr>
        <w:t xml:space="preserve">Some Lutheran and Reformed interpreters</w:t>
      </w:r>
      <w:r>
        <w:t xml:space="preserve"> </w:t>
      </w:r>
      <w:r>
        <w:t xml:space="preserve">read vv. 20–23 as messianic prophecy in the direct sense, on the grounds that no historical Eliakim could bear the weight the text places on this figure.</w:t>
      </w:r>
    </w:p>
    <w:p>
      <w:pPr>
        <w:numPr>
          <w:ilvl w:val="0"/>
          <w:numId w:val="1001"/>
        </w:numPr>
      </w:pPr>
      <w:r>
        <w:rPr>
          <w:b/>
          <w:bCs/>
        </w:rPr>
        <w:t xml:space="preserve">The Reformed canonical reading</w:t>
      </w:r>
      <w:r>
        <w:t xml:space="preserve"> </w:t>
      </w:r>
      <w:r>
        <w:t xml:space="preserve">— the most defensible — treats this as</w:t>
      </w:r>
      <w:r>
        <w:t xml:space="preserve"> </w:t>
      </w:r>
      <w:r>
        <w:rPr>
          <w:i/>
          <w:iCs/>
        </w:rPr>
        <w:t xml:space="preserve">typological</w:t>
      </w:r>
      <w:r>
        <w:t xml:space="preserve"> </w:t>
      </w:r>
      <w:r>
        <w:t xml:space="preserve">rather than directly predictive: Eliakim is a genuine historical figure who is genuinely invested with David’s authority, and precisely because he carries that office he becomes a type pointing forward to the One who bears the key of David without failing (Revelation 3:7). Verse 25 is not an anti-climax but a theological necessity: it shows that</w:t>
      </w:r>
      <w:r>
        <w:t xml:space="preserve"> </w:t>
      </w:r>
      <w:r>
        <w:rPr>
          <w:i/>
          <w:iCs/>
        </w:rPr>
        <w:t xml:space="preserve">even the best human peg</w:t>
      </w:r>
      <w:r>
        <w:t xml:space="preserve"> </w:t>
      </w:r>
      <w:r>
        <w:t xml:space="preserve">gives way. The chapter thus ends not with hope in Eliakim but with hope</w:t>
      </w:r>
      <w:r>
        <w:t xml:space="preserve"> </w:t>
      </w:r>
      <w:r>
        <w:rPr>
          <w:i/>
          <w:iCs/>
        </w:rPr>
        <w:t xml:space="preserve">beyond</w:t>
      </w:r>
      <w:r>
        <w:t xml:space="preserve"> </w:t>
      </w:r>
      <w:r>
        <w:t xml:space="preserve">Eliakim — in the One whose shoulders are strong enough to bear the key.</w:t>
      </w:r>
    </w:p>
    <w:p>
      <w:pPr>
        <w:pStyle w:val="FirstParagraph"/>
      </w:pPr>
      <w:r>
        <w:t xml:space="preserve">This typological reading best accounts for the whole passage: it takes the historical Eliakim seriously, it takes the weight of the language seriously, and it integrates v. 25 into the oracle’s logic rather than treating it as an awkward addendum.</w:t>
      </w:r>
    </w:p>
    <w:p>
      <w:pPr>
        <w:pStyle w:val="BodyText"/>
      </w:pPr>
      <w:r>
        <w:rPr>
          <w:b/>
          <w:bCs/>
        </w:rPr>
        <w:t xml:space="preserve">The unforgivable sin of v. 14</w:t>
      </w:r>
    </w:p>
    <w:p>
      <w:pPr>
        <w:pStyle w:val="BodyText"/>
      </w:pPr>
      <w:r>
        <w:t xml:space="preserve">“Surely this iniquity will not be forgiven you until you die”</w:t>
      </w:r>
      <w:r>
        <w:t xml:space="preserve"> </w:t>
      </w:r>
      <w:r>
        <w:t xml:space="preserve">(v. 14) has concerned interpreters who worry it introduces a category of sin beyond redemption. The Reformed reading carefully distinguishes between the judicial sentence pronounced on this community at this moment — a sentence of historical judgment, the withdrawal of the offer of repentance from this generation in this specific context — and any universal theological claim about unforgivable sin. This is not the</w:t>
      </w:r>
      <w:r>
        <w:t xml:space="preserve"> </w:t>
      </w:r>
      <w:r>
        <w:t xml:space="preserve">“sin against the Holy Spirit”</w:t>
      </w:r>
      <w:r>
        <w:t xml:space="preserve"> </w:t>
      </w:r>
      <w:r>
        <w:t xml:space="preserve">(Matthew 12:31). It is a judicial hardening — the door of corporate repentance has closed on Jerusalem at this juncture because they have definitively chosen feasting over mourning, self-reliance over the LORD. The sentence is terrible and meant to be heard as terrible; it is not a theological loophole but a demonstration of the deadly seriousness of covenant rebellion.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Isaiah 36–37</w:t>
      </w:r>
      <w:r>
        <w:t xml:space="preserve"> </w:t>
      </w:r>
      <w:r>
        <w:t xml:space="preserve">— The same Assyrian crisis yields a completely different response in Hezekiah’s prayer: the king tears his clothes, goes to the house of the LORD, and pleads with God. Chapter 22 shows what unrepentant self-reliance looks like; chapters 36–37 show what genuine turning looks like, grounding the contrast in the same historical moment.</w:t>
      </w:r>
    </w:p>
    <w:p>
      <w:pPr>
        <w:numPr>
          <w:ilvl w:val="0"/>
          <w:numId w:val="1002"/>
        </w:numPr>
      </w:pPr>
      <w:r>
        <w:rPr>
          <w:b/>
          <w:bCs/>
        </w:rPr>
        <w:t xml:space="preserve">Revelation 3:7</w:t>
      </w:r>
      <w:r>
        <w:t xml:space="preserve"> </w:t>
      </w:r>
      <w:r>
        <w:t xml:space="preserve">— Christ identifies Himself as the One who</w:t>
      </w:r>
      <w:r>
        <w:t xml:space="preserve"> </w:t>
      </w:r>
      <w:r>
        <w:t xml:space="preserve">“has the key of David, who opens and no one will shut, who shuts and no one opens”</w:t>
      </w:r>
      <w:r>
        <w:t xml:space="preserve"> </w:t>
      </w:r>
      <w:r>
        <w:t xml:space="preserve">— a direct citation of Isaiah 22:22, applied to the risen Christ. This confirms the typological reading: Eliakim’s key points forward to the One who bears it without collapsing under its weight.</w:t>
      </w:r>
    </w:p>
    <w:p>
      <w:pPr>
        <w:numPr>
          <w:ilvl w:val="0"/>
          <w:numId w:val="1002"/>
        </w:numPr>
      </w:pPr>
      <w:r>
        <w:rPr>
          <w:b/>
          <w:bCs/>
        </w:rPr>
        <w:t xml:space="preserve">Jeremiah 2:13</w:t>
      </w:r>
      <w:r>
        <w:t xml:space="preserve"> </w:t>
      </w:r>
      <w:r>
        <w:t xml:space="preserve">— God’s indictment of Israel as a people who have</w:t>
      </w:r>
      <w:r>
        <w:t xml:space="preserve"> </w:t>
      </w:r>
      <w:r>
        <w:t xml:space="preserve">“forsaken me, the fountain of living waters, and hewed out cisterns for themselves, broken cisterns that can hold no water.”</w:t>
      </w:r>
      <w:r>
        <w:t xml:space="preserve"> </w:t>
      </w:r>
      <w:r>
        <w:t xml:space="preserve">The precise image of Isaiah 22:11 — digging cisterns but not looking to the LORD — recurs as a canonical signature of covenant self-sufficiency.</w:t>
      </w:r>
    </w:p>
    <w:p>
      <w:pPr>
        <w:numPr>
          <w:ilvl w:val="0"/>
          <w:numId w:val="1002"/>
        </w:numPr>
      </w:pPr>
      <w:r>
        <w:rPr>
          <w:b/>
          <w:bCs/>
        </w:rPr>
        <w:t xml:space="preserve">Psalm 20:7–8</w:t>
      </w:r>
      <w:r>
        <w:t xml:space="preserve"> </w:t>
      </w:r>
      <w:r>
        <w:t xml:space="preserve">—</w:t>
      </w:r>
      <w:r>
        <w:t xml:space="preserve"> </w:t>
      </w:r>
      <w:r>
        <w:t xml:space="preserve">“Some trust in chariots and some in horses, but we trust in the name of the LORD our God. They collapse and fall, but we rise and stand upright.”</w:t>
      </w:r>
      <w:r>
        <w:t xml:space="preserve"> </w:t>
      </w:r>
      <w:r>
        <w:t xml:space="preserve">The psalmic principle is what Isaiah 22 applies in narrative form: the human preparations collapse; the people who trusted them fall.</w:t>
      </w:r>
    </w:p>
    <w:p>
      <w:pPr>
        <w:numPr>
          <w:ilvl w:val="0"/>
          <w:numId w:val="1002"/>
        </w:numPr>
      </w:pPr>
      <w:r>
        <w:rPr>
          <w:b/>
          <w:bCs/>
        </w:rPr>
        <w:t xml:space="preserve">Luke 12:16–21</w:t>
      </w:r>
      <w:r>
        <w:t xml:space="preserve"> </w:t>
      </w:r>
      <w:r>
        <w:t xml:space="preserve">— The parable of the rich fool parallels the specific sin of Isaiah 22:13 (</w:t>
      </w:r>
      <w:r>
        <w:t xml:space="preserve">“eat and drink, for tomorrow we die”</w:t>
      </w:r>
      <w:r>
        <w:t xml:space="preserve">): the man who stores up treasure for himself and plans elaborate future security is told</w:t>
      </w:r>
      <w:r>
        <w:t xml:space="preserve"> </w:t>
      </w:r>
      <w:r>
        <w:t xml:space="preserve">“this night your soul is required of you.”</w:t>
      </w:r>
      <w:r>
        <w:t xml:space="preserve"> </w:t>
      </w:r>
      <w:r>
        <w:t xml:space="preserve">The pattern of crisis-denial through self-fortification and creaturely celebration recurs as a New Testament warning.</w:t>
      </w:r>
    </w:p>
    <w:p>
      <w:r>
        <w:pict>
          <v:rect style="width:0;height:1.5pt" o:hralign="center" o:hrstd="t" o:hr="t"/>
        </w:pict>
      </w:r>
    </w:p>
    <w:p>
      <w:pPr>
        <w:pStyle w:val="FirstParagraph"/>
      </w:pPr>
      <w:r>
        <w:rPr>
          <w:b/>
          <w:bCs/>
        </w:rPr>
        <w:t xml:space="preserve">Aim:</w:t>
      </w:r>
      <w:r>
        <w:t xml:space="preserve"> </w:t>
      </w:r>
      <w:r>
        <w:t xml:space="preserve">To expose the specific sin of functional self-sufficiency — responding to pressure with human ingenuity and creaturely comfort rather than with repentance and dependence on the LORD — and to show that every structure built on that foundation, however impressive, will give way.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The city’s inexplicable celebrating — all the people</w:t>
            </w:r>
            <w:r>
              <w:t xml:space="preserve"> </w:t>
            </w:r>
            <w:r>
              <w:t xml:space="preserve">“gone up to the housetops”</w:t>
            </w:r>
          </w:p>
        </w:tc>
        <w:tc>
          <w:tcPr/>
          <w:p>
            <w:pPr>
              <w:pStyle w:val="Compact"/>
            </w:pPr>
            <w:r>
              <w:t xml:space="preserve">The oracle opens mid-crisis; Jerusalem is celebrating rather than mourning</w:t>
            </w:r>
          </w:p>
        </w:tc>
      </w:tr>
      <w:tr>
        <w:tc>
          <w:tcPr/>
          <w:p>
            <w:pPr>
              <w:pStyle w:val="Compact"/>
            </w:pPr>
            <w:r>
              <w:t xml:space="preserve">2b–3</w:t>
            </w:r>
          </w:p>
        </w:tc>
        <w:tc>
          <w:tcPr/>
          <w:p>
            <w:pPr>
              <w:pStyle w:val="Compact"/>
            </w:pPr>
            <w:r>
              <w:t xml:space="preserve">The prophet’s rebuke: the slain were not killed in battle but fled and were captured</w:t>
            </w:r>
          </w:p>
        </w:tc>
        <w:tc>
          <w:tcPr/>
          <w:p>
            <w:pPr>
              <w:pStyle w:val="Compact"/>
            </w:pPr>
            <w:r>
              <w:t xml:space="preserve">Disgrace, not heroic death — the city’s crisis is shameful</w:t>
            </w:r>
          </w:p>
        </w:tc>
      </w:tr>
      <w:tr>
        <w:tc>
          <w:tcPr/>
          <w:p>
            <w:pPr>
              <w:pStyle w:val="Compact"/>
            </w:pPr>
            <w:r>
              <w:t xml:space="preserve">4</w:t>
            </w:r>
          </w:p>
        </w:tc>
        <w:tc>
          <w:tcPr/>
          <w:p>
            <w:pPr>
              <w:pStyle w:val="Compact"/>
            </w:pPr>
            <w:r>
              <w:t xml:space="preserve">Isaiah refuses to be comforted; he weeps for</w:t>
            </w:r>
            <w:r>
              <w:t xml:space="preserve"> </w:t>
            </w:r>
            <w:r>
              <w:t xml:space="preserve">“the daughter of my people”</w:t>
            </w:r>
          </w:p>
        </w:tc>
        <w:tc>
          <w:tcPr/>
          <w:p>
            <w:pPr>
              <w:pStyle w:val="Compact"/>
            </w:pPr>
            <w:r>
              <w:t xml:space="preserve">The prophet models the grief the city refuses to feel</w:t>
            </w:r>
          </w:p>
        </w:tc>
      </w:tr>
      <w:tr>
        <w:tc>
          <w:tcPr/>
          <w:p>
            <w:pPr>
              <w:pStyle w:val="Compact"/>
            </w:pPr>
            <w:r>
              <w:t xml:space="preserve">5–8a</w:t>
            </w:r>
          </w:p>
        </w:tc>
        <w:tc>
          <w:tcPr/>
          <w:p>
            <w:pPr>
              <w:pStyle w:val="Compact"/>
            </w:pPr>
            <w:r>
              <w:t xml:space="preserve">The day of the LORD — tumult, trampling, confusion in the Valley of Vision; the covering of Judah is stripped away</w:t>
            </w:r>
          </w:p>
        </w:tc>
        <w:tc>
          <w:tcPr/>
          <w:p>
            <w:pPr>
              <w:pStyle w:val="Compact"/>
            </w:pPr>
            <w:r>
              <w:t xml:space="preserve">The Assyrian threat arrives as divine appointment, not mere geopolitics</w:t>
            </w:r>
          </w:p>
        </w:tc>
      </w:tr>
      <w:tr>
        <w:tc>
          <w:tcPr/>
          <w:p>
            <w:pPr>
              <w:pStyle w:val="Compact"/>
            </w:pPr>
            <w:r>
              <w:t xml:space="preserve">8b–11</w:t>
            </w:r>
          </w:p>
        </w:tc>
        <w:tc>
          <w:tcPr/>
          <w:p>
            <w:pPr>
              <w:pStyle w:val="Compact"/>
            </w:pPr>
            <w:r>
              <w:t xml:space="preserve">Judah’s response catalogued: weapons from the armory, repairing the wall, building the lower pool, counting houses, making a reservoir — but</w:t>
            </w:r>
            <w:r>
              <w:t xml:space="preserve"> </w:t>
            </w:r>
            <w:r>
              <w:t xml:space="preserve">“you did not look to him who did it, or see him who planned it long ago”</w:t>
            </w:r>
          </w:p>
        </w:tc>
        <w:tc>
          <w:tcPr/>
          <w:p>
            <w:pPr>
              <w:pStyle w:val="Compact"/>
            </w:pPr>
            <w:r>
              <w:t xml:space="preserve">The indictment is not that they were unprepared militarily but that all their preparation was entirely horizontal</w:t>
            </w:r>
          </w:p>
        </w:tc>
      </w:tr>
      <w:tr>
        <w:tc>
          <w:tcPr/>
          <w:p>
            <w:pPr>
              <w:pStyle w:val="Compact"/>
            </w:pPr>
            <w:r>
              <w:t xml:space="preserve">12–13</w:t>
            </w:r>
          </w:p>
        </w:tc>
        <w:tc>
          <w:tcPr/>
          <w:p>
            <w:pPr>
              <w:pStyle w:val="Compact"/>
            </w:pPr>
            <w:r>
              <w:t xml:space="preserve">What the Lord GOD called for: weeping, mourning, baldness, sackcloth. What they chose instead: joy, gladness, slaughtering oxen and sheep,</w:t>
            </w:r>
            <w:r>
              <w:t xml:space="preserve"> </w:t>
            </w:r>
            <w:r>
              <w:t xml:space="preserve">“eat and drink, for tomorrow we die”</w:t>
            </w:r>
          </w:p>
        </w:tc>
        <w:tc>
          <w:tcPr/>
          <w:p>
            <w:pPr>
              <w:pStyle w:val="Compact"/>
            </w:pPr>
            <w:r>
              <w:t xml:space="preserve">The direct contradiction of what God called for — deliberate defiance</w:t>
            </w:r>
          </w:p>
        </w:tc>
      </w:tr>
      <w:tr>
        <w:tc>
          <w:tcPr/>
          <w:p>
            <w:pPr>
              <w:pStyle w:val="Compact"/>
            </w:pPr>
            <w:r>
              <w:t xml:space="preserve">14</w:t>
            </w:r>
          </w:p>
        </w:tc>
        <w:tc>
          <w:tcPr/>
          <w:p>
            <w:pPr>
              <w:pStyle w:val="Compact"/>
            </w:pPr>
            <w:r>
              <w:t xml:space="preserve">The word of the LORD:</w:t>
            </w:r>
            <w:r>
              <w:t xml:space="preserve"> </w:t>
            </w:r>
            <w:r>
              <w:t xml:space="preserve">“Surely this iniquity will not be forgiven you until you die”</w:t>
            </w:r>
          </w:p>
        </w:tc>
        <w:tc>
          <w:tcPr/>
          <w:p>
            <w:pPr>
              <w:pStyle w:val="Compact"/>
            </w:pPr>
            <w:r>
              <w:t xml:space="preserve">A judicial hardening — the door of corporate repentance has closed</w:t>
            </w:r>
          </w:p>
        </w:tc>
      </w:tr>
      <w:tr>
        <w:tc>
          <w:tcPr/>
          <w:p>
            <w:pPr>
              <w:pStyle w:val="Compact"/>
            </w:pPr>
            <w:r>
              <w:t xml:space="preserve">15–19</w:t>
            </w:r>
          </w:p>
        </w:tc>
        <w:tc>
          <w:tcPr/>
          <w:p>
            <w:pPr>
              <w:pStyle w:val="Compact"/>
            </w:pPr>
            <w:r>
              <w:t xml:space="preserve">Oracle against Shebna: his self-monument, his tomb, his pride — all will be cut down; he will be hurled away and die in exile in disgrace</w:t>
            </w:r>
          </w:p>
        </w:tc>
        <w:tc>
          <w:tcPr/>
          <w:p>
            <w:pPr>
              <w:pStyle w:val="Compact"/>
            </w:pPr>
            <w:r>
              <w:t xml:space="preserve">Shebna embodies the city’s sin on a personal scale: self-exaltation and monument-building in the face of judgment</w:t>
            </w:r>
          </w:p>
        </w:tc>
      </w:tr>
      <w:tr>
        <w:tc>
          <w:tcPr/>
          <w:p>
            <w:pPr>
              <w:pStyle w:val="Compact"/>
            </w:pPr>
            <w:r>
              <w:t xml:space="preserve">20–23</w:t>
            </w:r>
          </w:p>
        </w:tc>
        <w:tc>
          <w:tcPr/>
          <w:p>
            <w:pPr>
              <w:pStyle w:val="Compact"/>
            </w:pPr>
            <w:r>
              <w:t xml:space="preserve">Oracle for Eliakim: invested with Shebna’s robe and sash, given the key of the house of David, fastened as a peg in a secure place</w:t>
            </w:r>
          </w:p>
        </w:tc>
        <w:tc>
          <w:tcPr/>
          <w:p>
            <w:pPr>
              <w:pStyle w:val="Compact"/>
            </w:pPr>
            <w:r>
              <w:t xml:space="preserve">The hope of faithful stewardship under David’s authority — typologically pointing beyond any single official</w:t>
            </w:r>
          </w:p>
        </w:tc>
      </w:tr>
      <w:tr>
        <w:tc>
          <w:tcPr/>
          <w:p>
            <w:pPr>
              <w:pStyle w:val="Compact"/>
            </w:pPr>
            <w:r>
              <w:t xml:space="preserve">24</w:t>
            </w:r>
          </w:p>
        </w:tc>
        <w:tc>
          <w:tcPr/>
          <w:p>
            <w:pPr>
              <w:pStyle w:val="Compact"/>
            </w:pPr>
            <w:r>
              <w:t xml:space="preserve">The weight hung on Eliakim:</w:t>
            </w:r>
            <w:r>
              <w:t xml:space="preserve"> </w:t>
            </w:r>
            <w:r>
              <w:t xml:space="preserve">“the whole honor of his father’s house”</w:t>
            </w:r>
            <w:r>
              <w:t xml:space="preserve"> </w:t>
            </w:r>
            <w:r>
              <w:t xml:space="preserve">— every lesser vessel hung on him</w:t>
            </w:r>
          </w:p>
        </w:tc>
        <w:tc>
          <w:tcPr/>
          <w:p>
            <w:pPr>
              <w:pStyle w:val="Compact"/>
            </w:pPr>
            <w:r>
              <w:t xml:space="preserve">The burden is enormous; the language strains toward what no single human official can bear</w:t>
            </w:r>
          </w:p>
        </w:tc>
      </w:tr>
      <w:tr>
        <w:tc>
          <w:tcPr/>
          <w:p>
            <w:pPr>
              <w:pStyle w:val="Compact"/>
            </w:pPr>
            <w:r>
              <w:t xml:space="preserve">25</w:t>
            </w:r>
          </w:p>
        </w:tc>
        <w:tc>
          <w:tcPr/>
          <w:p>
            <w:pPr>
              <w:pStyle w:val="Compact"/>
            </w:pPr>
            <w:r>
              <w:t xml:space="preserve">“In that day, the peg that was fastened in a secure place will give way, and it will be cut down and fall, and the load that was on it will be cut off”</w:t>
            </w:r>
          </w:p>
        </w:tc>
        <w:tc>
          <w:tcPr/>
          <w:p>
            <w:pPr>
              <w:pStyle w:val="Compact"/>
            </w:pPr>
            <w:r>
              <w:t xml:space="preserve">The chapter ends as it must: even the best human peg gives way; all human confidence collapses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Celebrating City and the Weeping Prophet</w:t>
            </w:r>
          </w:p>
        </w:tc>
      </w:tr>
      <w:tr>
        <w:tc>
          <w:tcPr/>
          <w:p>
            <w:pPr>
              <w:pStyle w:val="Compact"/>
            </w:pPr>
            <w:r>
              <w:t xml:space="preserve">2</w:t>
            </w:r>
          </w:p>
        </w:tc>
        <w:tc>
          <w:tcPr/>
          <w:p>
            <w:pPr>
              <w:pStyle w:val="Compact"/>
            </w:pPr>
            <w:r>
              <w:t xml:space="preserve">5–8a</w:t>
            </w:r>
          </w:p>
        </w:tc>
        <w:tc>
          <w:tcPr/>
          <w:p>
            <w:pPr>
              <w:pStyle w:val="Compact"/>
            </w:pPr>
            <w:r>
              <w:t xml:space="preserve">The Day of the LORD Arrives as Divine Appointment</w:t>
            </w:r>
          </w:p>
        </w:tc>
      </w:tr>
      <w:tr>
        <w:tc>
          <w:tcPr/>
          <w:p>
            <w:pPr>
              <w:pStyle w:val="Compact"/>
            </w:pPr>
            <w:r>
              <w:t xml:space="preserve">3</w:t>
            </w:r>
          </w:p>
        </w:tc>
        <w:tc>
          <w:tcPr/>
          <w:p>
            <w:pPr>
              <w:pStyle w:val="Compact"/>
            </w:pPr>
            <w:r>
              <w:t xml:space="preserve">8b–11</w:t>
            </w:r>
          </w:p>
        </w:tc>
        <w:tc>
          <w:tcPr/>
          <w:p>
            <w:pPr>
              <w:pStyle w:val="Compact"/>
            </w:pPr>
            <w:r>
              <w:t xml:space="preserve">All Preparation, No Prayer: The Horizontal Crisis Response</w:t>
            </w:r>
          </w:p>
        </w:tc>
      </w:tr>
      <w:tr>
        <w:tc>
          <w:tcPr/>
          <w:p>
            <w:pPr>
              <w:pStyle w:val="Compact"/>
            </w:pPr>
            <w:r>
              <w:t xml:space="preserve">4</w:t>
            </w:r>
          </w:p>
        </w:tc>
        <w:tc>
          <w:tcPr/>
          <w:p>
            <w:pPr>
              <w:pStyle w:val="Compact"/>
            </w:pPr>
            <w:r>
              <w:t xml:space="preserve">12–14</w:t>
            </w:r>
          </w:p>
        </w:tc>
        <w:tc>
          <w:tcPr/>
          <w:p>
            <w:pPr>
              <w:pStyle w:val="Compact"/>
            </w:pPr>
            <w:r>
              <w:t xml:space="preserve">What God Called For, What They Chose, and the Judicial Sentence</w:t>
            </w:r>
          </w:p>
        </w:tc>
      </w:tr>
      <w:tr>
        <w:tc>
          <w:tcPr/>
          <w:p>
            <w:pPr>
              <w:pStyle w:val="Compact"/>
            </w:pPr>
            <w:r>
              <w:t xml:space="preserve">5</w:t>
            </w:r>
          </w:p>
        </w:tc>
        <w:tc>
          <w:tcPr/>
          <w:p>
            <w:pPr>
              <w:pStyle w:val="Compact"/>
            </w:pPr>
            <w:r>
              <w:t xml:space="preserve">15–19</w:t>
            </w:r>
          </w:p>
        </w:tc>
        <w:tc>
          <w:tcPr/>
          <w:p>
            <w:pPr>
              <w:pStyle w:val="Compact"/>
            </w:pPr>
            <w:r>
              <w:t xml:space="preserve">Shebna: The Personal Face of the City’s Sin</w:t>
            </w:r>
          </w:p>
        </w:tc>
      </w:tr>
      <w:tr>
        <w:tc>
          <w:tcPr/>
          <w:p>
            <w:pPr>
              <w:pStyle w:val="Compact"/>
            </w:pPr>
            <w:r>
              <w:t xml:space="preserve">6</w:t>
            </w:r>
          </w:p>
        </w:tc>
        <w:tc>
          <w:tcPr/>
          <w:p>
            <w:pPr>
              <w:pStyle w:val="Compact"/>
            </w:pPr>
            <w:r>
              <w:t xml:space="preserve">20–25</w:t>
            </w:r>
          </w:p>
        </w:tc>
        <w:tc>
          <w:tcPr/>
          <w:p>
            <w:pPr>
              <w:pStyle w:val="Compact"/>
            </w:pPr>
            <w:r>
              <w:t xml:space="preserve">Eliakim: The Faithful Peg That Ultimately Gives 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self-sufficient crisis management is judged; all human pegs give way.</w:t>
      </w:r>
    </w:p>
    <w:p>
      <w:pPr>
        <w:pStyle w:val="BodyText"/>
      </w:pPr>
      <w:r>
        <w:rPr>
          <w:b/>
          <w:bCs/>
        </w:rPr>
        <w:t xml:space="preserve">Primary Claim:</w:t>
      </w:r>
      <w:r>
        <w:t xml:space="preserve"> </w:t>
      </w:r>
      <w:r>
        <w:t xml:space="preserve">When God sends pressure to drive His people to Himself, and they respond instead with frantic self-reliance and deliberate celebration of creaturely comfort, He declares that sin unforgivable — and demonstrates through the collapse of every human structure that there is no peg strong enough to bear the weight they are placing on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specific sin God indicts here is not irreligion but</w:t>
      </w:r>
      <w:r>
        <w:t xml:space="preserve"> </w:t>
      </w:r>
      <w:r>
        <w:rPr>
          <w:i/>
          <w:iCs/>
        </w:rPr>
        <w:t xml:space="preserve">functional</w:t>
      </w:r>
      <w:r>
        <w:t xml:space="preserve"> </w:t>
      </w:r>
      <w:r>
        <w:t xml:space="preserve">irreligion — a people who would not have denied believing in the LORD but whose crisis response was entirely horizontal. Before examining what you do in a crisis, examine what direction you</w:t>
      </w:r>
      <w:r>
        <w:t xml:space="preserve"> </w:t>
      </w:r>
      <w:r>
        <w:rPr>
          <w:i/>
          <w:iCs/>
        </w:rPr>
        <w:t xml:space="preserve">instinctively face</w:t>
      </w:r>
      <w:r>
        <w:t xml:space="preserve"> </w:t>
      </w:r>
      <w:r>
        <w:t xml:space="preserve">in a crisis: toward God or toward your own competence and resources. The Valley of Vision’s failure was not atheism; it was practical atheism dressed in the clothing of responsible planning.</w:t>
      </w:r>
      <w:r>
        <w:t xml:space="preserve"> </w:t>
      </w:r>
      <w:r>
        <w:rPr>
          <w:i/>
          <w:iCs/>
        </w:rPr>
        <w:t xml:space="preserve">(Mind/belief)</w:t>
      </w:r>
    </w:p>
    <w:p>
      <w:pPr>
        <w:pStyle w:val="BodyText"/>
      </w:pPr>
      <w:r>
        <w:rPr>
          <w:b/>
          <w:bCs/>
        </w:rPr>
        <w:t xml:space="preserve">2.</w:t>
      </w:r>
      <w:r>
        <w:t xml:space="preserve"> </w:t>
      </w:r>
      <w:r>
        <w:t xml:space="preserve">When God is pressing you — through difficulty, threat, loss, or uncertainty — He is calling you to something specific: weeping, mourning, and turning (v. 12). The text does not suggest that practical preparation is wrong; it insists that preparation divorced from acknowledgment of the LORD is its own form of defiance. The question is not whether you are preparing but whether, in your preparing, you are</w:t>
      </w:r>
      <w:r>
        <w:t xml:space="preserve"> </w:t>
      </w:r>
      <w:r>
        <w:rPr>
          <w:i/>
          <w:iCs/>
        </w:rPr>
        <w:t xml:space="preserve">looking to Him who planned it long ago</w:t>
      </w:r>
      <w:r>
        <w:t xml:space="preserve"> </w:t>
      </w:r>
      <w:r>
        <w:t xml:space="preserve">(v. 11).</w:t>
      </w:r>
      <w:r>
        <w:t xml:space="preserve"> </w:t>
      </w:r>
      <w:r>
        <w:rPr>
          <w:i/>
          <w:iCs/>
        </w:rPr>
        <w:t xml:space="preserve">(Will/behavior)</w:t>
      </w:r>
    </w:p>
    <w:p>
      <w:pPr>
        <w:pStyle w:val="BodyText"/>
      </w:pPr>
      <w:r>
        <w:rPr>
          <w:b/>
          <w:bCs/>
        </w:rPr>
        <w:t xml:space="preserve">3.</w:t>
      </w:r>
      <w:r>
        <w:t xml:space="preserve"> </w:t>
      </w:r>
      <w:r>
        <w:t xml:space="preserve">The feasting of v. 13 —</w:t>
      </w:r>
      <w:r>
        <w:t xml:space="preserve"> </w:t>
      </w:r>
      <w:r>
        <w:t xml:space="preserve">“let us eat and drink, for tomorrow we die”</w:t>
      </w:r>
      <w:r>
        <w:t xml:space="preserve"> </w:t>
      </w:r>
      <w:r>
        <w:t xml:space="preserve">— is not mindless hedonism; it is a chosen anesthetic. It is what people do when they know something is broken and they have decided not to face it. Examine the ways you use pleasure, activity, entertainment, and social distraction to avoid the grief that God may be calling you into. Numbing is not coping; it is a refusal to repent.</w:t>
      </w:r>
      <w:r>
        <w:t xml:space="preserve"> </w:t>
      </w:r>
      <w:r>
        <w:rPr>
          <w:i/>
          <w:iCs/>
        </w:rPr>
        <w:t xml:space="preserve">(Affections/worship)</w:t>
      </w:r>
    </w:p>
    <w:p>
      <w:pPr>
        <w:pStyle w:val="BodyText"/>
      </w:pPr>
      <w:r>
        <w:rPr>
          <w:b/>
          <w:bCs/>
        </w:rPr>
        <w:t xml:space="preserve">4.</w:t>
      </w:r>
      <w:r>
        <w:t xml:space="preserve"> </w:t>
      </w:r>
      <w:r>
        <w:t xml:space="preserve">Shebna’s tomb-carving is a monument to his own permanence built precisely when permanence is being threatened. Every human being builds monuments — positions, reputations, legacies, institutions — that whisper</w:t>
      </w:r>
      <w:r>
        <w:t xml:space="preserve"> </w:t>
      </w:r>
      <w:r>
        <w:t xml:space="preserve">“this will last, this will matter, this will remember me.”</w:t>
      </w:r>
      <w:r>
        <w:t xml:space="preserve"> </w:t>
      </w:r>
      <w:r>
        <w:t xml:space="preserve">The word of the LORD to Shebna is the word He speaks to all such monument-building: you will be hurled away from it, and it will not protect you. Let the death of your Shebn-aic self-projects be an opportunity not for despair but for redirection — toward the One whose name and throne actually endure.</w:t>
      </w:r>
      <w:r>
        <w:t xml:space="preserve"> </w:t>
      </w:r>
      <w:r>
        <w:rPr>
          <w:i/>
          <w:iCs/>
        </w:rPr>
        <w:t xml:space="preserve">(Affections/worship)</w:t>
      </w:r>
    </w:p>
    <w:p>
      <w:pPr>
        <w:pStyle w:val="BodyText"/>
      </w:pPr>
      <w:r>
        <w:rPr>
          <w:b/>
          <w:bCs/>
        </w:rPr>
        <w:t xml:space="preserve">5.</w:t>
      </w:r>
      <w:r>
        <w:t xml:space="preserve"> </w:t>
      </w:r>
      <w:r>
        <w:t xml:space="preserve">The Eliakim section does not end with hope in Eliakim — it ends with the demonstration that even the best, most faithfully appointed human peg gives way under the weight placed on it. Where have you transferred weight onto a human structure — a pastor, a church, a leader, a relationship, an institution — that only God can bear? The collapse of human pegs is not an accident; it is God’s way of driving you to the only Peg who holds.</w:t>
      </w:r>
      <w:r>
        <w:t xml:space="preserve"> </w:t>
      </w:r>
      <w:r>
        <w:rPr>
          <w:i/>
          <w:iCs/>
        </w:rPr>
        <w:t xml:space="preserve">(Mind/belief)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22 teaches that God is sovereign over crisis — not as a bystander watching events unfold but as the One who</w:t>
      </w:r>
      <w:r>
        <w:t xml:space="preserve"> </w:t>
      </w:r>
      <w:r>
        <w:t xml:space="preserve">“planned it long ago”</w:t>
      </w:r>
      <w:r>
        <w:t xml:space="preserve"> </w:t>
      </w:r>
      <w:r>
        <w:t xml:space="preserve">(v. 11) and appoints the very pressures His people face as invitations to return to Him. The chapter demonstrates that God’s judgment on self-sufficiency is not merely reactive but purposive: He sends trouble to strip away false confidence, He speaks through the prophet to name what He is doing, and He watches to see whether His people will turn. The hardening of v. 14 reveals that God does not extend the call to repentance indefinitely — there is a moment at which a community’s deliberate, repeated refusal to acknowledge Him becomes a judicial sentence rather than a continuing invitation. The Shebna-Eliakim section extends this theology to the individual level, showing that God removes the proud official and installs the faithful one — and even then, no human steward is the final answer. God’s governance of history runs through and beyond all human instruments.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concentrated expression of the Reformed doctrine of providence as both governance and grace: the Assyrian threat is not outside God’s control but within His purpose, and its purpose is explicitly the exposure and reformation of His covenant people. The sin indicted — self-sufficient crisis management, horizontal preparation without vertical acknowledgment — is precisely what Reformed theology identifies as the practical denial of God’s sovereignty that accompanies all idolatry. The Shebna-Eliakim oracle anticipates the Davidic-covenantal fulfillment that Revelation 3:7 applies to Christ, confirming the typological-canonical reading: the key of David belongs ultimately to One who is not appointed to fail. The chapter thus functions as a microcosm of the covenant’s logic — judgment on self-reliance, grace through removal of self-exaltation, and hope anchored not in the best human administrator but in the One to whom all Davidic stewardship points. For Reformed preaching, this chapter is a prime text for diagnosing the sophisticated idolatry of religious competence — the sin not of those who have abandoned God but of those who have retained God-language while functionally replacing Him with their own crisis-management capabilities.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sent the Assyrian threat to Jerusalem for one reason: to drive them to their knees before Him. They responded by building walls, digging cisterns, and throwing a party — everything except looking to the One who planned it all. That is the sin this chapter judges, and it is not an ancient sin. Every structure you build to carry your security, your significance, and your future will give way — not as a failure of engineering but as an act of mercy, because there is only one Peg strong enough to hold the weight you were made to hang on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Reducing the chapter to a historical curiosity.</w:t>
      </w:r>
      <w:r>
        <w:t xml:space="preserve"> </w:t>
      </w:r>
      <w:r>
        <w:t xml:space="preserve">The temptation with Isaiah’s oracles against nations (and this quasi-oracle against Jerusalem) is to spend the sermon reconstructing the Assyrian crisis and lose the theological nerve of the passage entirely. The historical context informs; it does not replace the claim. Preach the</w:t>
      </w:r>
      <w:r>
        <w:t xml:space="preserve"> </w:t>
      </w:r>
      <w:r>
        <w:rPr>
          <w:i/>
          <w:iCs/>
        </w:rPr>
        <w:t xml:space="preserve">principle</w:t>
      </w:r>
      <w:r>
        <w:t xml:space="preserve"> </w:t>
      </w:r>
      <w:r>
        <w:t xml:space="preserve">the history embodies — God’s purposive use of pressure to expose self-sufficiency — not just the event.</w:t>
      </w:r>
    </w:p>
    <w:p>
      <w:pPr>
        <w:numPr>
          <w:ilvl w:val="0"/>
          <w:numId w:val="1003"/>
        </w:numPr>
      </w:pPr>
      <w:r>
        <w:rPr>
          <w:b/>
          <w:bCs/>
        </w:rPr>
        <w:t xml:space="preserve">Treating vv. 8b–11 as merely condemning insufficient prayer alongside good preparation.</w:t>
      </w:r>
      <w:r>
        <w:t xml:space="preserve"> </w:t>
      </w:r>
      <w:r>
        <w:t xml:space="preserve">The text’s indictment is sharper than</w:t>
      </w:r>
      <w:r>
        <w:t xml:space="preserve"> </w:t>
      </w:r>
      <w:r>
        <w:t xml:space="preserve">“they should have prayed more.”</w:t>
      </w:r>
      <w:r>
        <w:t xml:space="preserve"> </w:t>
      </w:r>
      <w:r>
        <w:t xml:space="preserve">The issue is the</w:t>
      </w:r>
      <w:r>
        <w:t xml:space="preserve"> </w:t>
      </w:r>
      <w:r>
        <w:rPr>
          <w:i/>
          <w:iCs/>
        </w:rPr>
        <w:t xml:space="preserve">direction of the whole response</w:t>
      </w:r>
      <w:r>
        <w:t xml:space="preserve"> </w:t>
      </w:r>
      <w:r>
        <w:t xml:space="preserve">— everything they did pointed inward and outward, nothing pointed upward. The application must be equally sharp: not</w:t>
      </w:r>
      <w:r>
        <w:t xml:space="preserve"> </w:t>
      </w:r>
      <w:r>
        <w:t xml:space="preserve">“add prayer to your crisis plan”</w:t>
      </w:r>
      <w:r>
        <w:t xml:space="preserve"> </w:t>
      </w:r>
      <w:r>
        <w:t xml:space="preserve">but</w:t>
      </w:r>
      <w:r>
        <w:t xml:space="preserve"> </w:t>
      </w:r>
      <w:r>
        <w:t xml:space="preserve">“examine whether your crisis plan is a substitute for trusting God or an expression of it.”</w:t>
      </w:r>
    </w:p>
    <w:p>
      <w:pPr>
        <w:numPr>
          <w:ilvl w:val="0"/>
          <w:numId w:val="1003"/>
        </w:numPr>
      </w:pPr>
      <w:r>
        <w:rPr>
          <w:b/>
          <w:bCs/>
        </w:rPr>
        <w:t xml:space="preserve">Missing the deliberateness of v. 13.</w:t>
      </w:r>
      <w:r>
        <w:t xml:space="preserve"> </w:t>
      </w:r>
      <w:r>
        <w:t xml:space="preserve">“Let us eat and drink, for tomorrow we die”</w:t>
      </w:r>
      <w:r>
        <w:t xml:space="preserve"> </w:t>
      </w:r>
      <w:r>
        <w:t xml:space="preserve">is not desperate comfort-seeking — it is a conscious rejection of what God was calling for. The feasting is a counter-liturgy: God called for mourning; they chose joy. Any exposition that softens this into understandable coping misses the force of the indictment and the seriousness of the judicial sentence that follows.</w:t>
      </w:r>
    </w:p>
    <w:p>
      <w:pPr>
        <w:numPr>
          <w:ilvl w:val="0"/>
          <w:numId w:val="1003"/>
        </w:numPr>
      </w:pPr>
      <w:r>
        <w:rPr>
          <w:b/>
          <w:bCs/>
        </w:rPr>
        <w:t xml:space="preserve">Reading v. 14 as universally applicable — an</w:t>
      </w:r>
      <w:r>
        <w:rPr>
          <w:b/>
          <w:bCs/>
        </w:rPr>
        <w:t xml:space="preserve"> </w:t>
      </w:r>
      <w:r>
        <w:rPr>
          <w:b/>
          <w:bCs/>
        </w:rPr>
        <w:t xml:space="preserve">“unforgivable sin”</w:t>
      </w:r>
      <w:r>
        <w:rPr>
          <w:b/>
          <w:bCs/>
        </w:rPr>
        <w:t xml:space="preserve"> </w:t>
      </w:r>
      <w:r>
        <w:rPr>
          <w:b/>
          <w:bCs/>
        </w:rPr>
        <w:t xml:space="preserve">text.</w:t>
      </w:r>
      <w:r>
        <w:t xml:space="preserve"> </w:t>
      </w:r>
      <w:r>
        <w:t xml:space="preserve">This verse belongs to a specific judicial moment in the covenant community’s history and must not be weaponized into a general category of sin beyond redemption. However, the opposite error — domesticating it into something less than what it says — is equally wrong. The sentence is real, terrible, and meant to produce fear of deliberate, sustained covenant-defiance.</w:t>
      </w:r>
    </w:p>
    <w:p>
      <w:pPr>
        <w:numPr>
          <w:ilvl w:val="0"/>
          <w:numId w:val="1003"/>
        </w:numPr>
      </w:pPr>
      <w:r>
        <w:rPr>
          <w:b/>
          <w:bCs/>
        </w:rPr>
        <w:t xml:space="preserve">Treating Eliakim as straightforwardly messianic without accounting for v. 25.</w:t>
      </w:r>
      <w:r>
        <w:t xml:space="preserve"> </w:t>
      </w:r>
      <w:r>
        <w:t xml:space="preserve">A sermon or study that ends at v. 23 with triumphant hope in Eliakim has cut off the chapter’s own qualification of that hope. Verse 25 is not an awkward postscript; it is the chapter’s final word and its most important structural move — the demonstration that the only satisfying answer lies beyond any human peg. Preach Eliakim typologically: he is real, he is appointed, he is genuinely invested with Davidic authority, and he is not enough. That</w:t>
      </w:r>
      <w:r>
        <w:t xml:space="preserve"> </w:t>
      </w:r>
      <w:r>
        <w:t xml:space="preserve">“not enough”</w:t>
      </w:r>
      <w:r>
        <w:t xml:space="preserve"> </w:t>
      </w:r>
      <w:r>
        <w:t xml:space="preserve">is the door through which Christ enters.</w:t>
      </w:r>
    </w:p>
    <w:p>
      <w:pPr>
        <w:numPr>
          <w:ilvl w:val="0"/>
          <w:numId w:val="1003"/>
        </w:numPr>
      </w:pPr>
      <w:r>
        <w:rPr>
          <w:b/>
          <w:bCs/>
        </w:rPr>
        <w:t xml:space="preserve">Moralizing the Shebna section into a simple pride-and-fall story.</w:t>
      </w:r>
      <w:r>
        <w:t xml:space="preserve"> </w:t>
      </w:r>
      <w:r>
        <w:t xml:space="preserve">Shebna is not in the text primarily as a cautionary tale about pride — he is the personal instantiation of Jerusalem’s corporate sin. His tomb-carving is not eccentric vanity; it is the logical endpoint of the self-reliant posture the whole city has assumed. Preach Shebna in connection with the city’s response, not as a free-standing character lesson.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2026-07-14T21:05:35Z</dcterms:created>
  <dcterms:modified xsi:type="dcterms:W3CDTF">2026-07-14T21:05:35Z</dcterms:modified>
</cp:coreProperties>
</file>

<file path=docProps/custom.xml><?xml version="1.0" encoding="utf-8"?>
<Properties xmlns="http://schemas.openxmlformats.org/officeDocument/2006/custom-properties" xmlns:vt="http://schemas.openxmlformats.org/officeDocument/2006/docPropsVTypes"/>
</file>